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2126"/>
      </w:tblGrid>
      <w:tr w:rsidR="00FB75C9" w:rsidTr="009E2D95">
        <w:tc>
          <w:tcPr>
            <w:tcW w:w="9209" w:type="dxa"/>
            <w:gridSpan w:val="4"/>
          </w:tcPr>
          <w:p w:rsidR="00FB75C9" w:rsidRDefault="00FB75C9" w:rsidP="009C4647">
            <w:pPr>
              <w:rPr>
                <w:b/>
                <w:sz w:val="20"/>
                <w:szCs w:val="20"/>
              </w:rPr>
            </w:pPr>
            <w:r w:rsidRPr="00B25405">
              <w:rPr>
                <w:b/>
                <w:sz w:val="20"/>
                <w:szCs w:val="20"/>
              </w:rPr>
              <w:t xml:space="preserve">Continuing Statutory Service  (Proposed Base Budget Reduction </w:t>
            </w:r>
            <w:r w:rsidR="009C4647" w:rsidRPr="00B25405">
              <w:rPr>
                <w:b/>
                <w:sz w:val="20"/>
                <w:szCs w:val="20"/>
              </w:rPr>
              <w:t>T</w:t>
            </w:r>
            <w:r w:rsidRPr="00B25405">
              <w:rPr>
                <w:b/>
                <w:sz w:val="20"/>
                <w:szCs w:val="20"/>
              </w:rPr>
              <w:t>argets)</w:t>
            </w:r>
            <w:r w:rsidR="00B819B1">
              <w:rPr>
                <w:b/>
                <w:sz w:val="20"/>
                <w:szCs w:val="20"/>
              </w:rPr>
              <w:t xml:space="preserve"> – Template 2</w:t>
            </w:r>
          </w:p>
          <w:p w:rsidR="00CA2B52" w:rsidRPr="00B25405" w:rsidRDefault="000D0FF5" w:rsidP="009C4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012</w:t>
            </w:r>
          </w:p>
        </w:tc>
      </w:tr>
      <w:tr w:rsidR="00FB75C9" w:rsidTr="00084304">
        <w:tc>
          <w:tcPr>
            <w:tcW w:w="3256" w:type="dxa"/>
            <w:tcBorders>
              <w:bottom w:val="single" w:sz="4" w:space="0" w:color="auto"/>
            </w:tcBorders>
          </w:tcPr>
          <w:p w:rsidR="007E37BB" w:rsidRDefault="00DF54C6" w:rsidP="007E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Property Asset Management </w:t>
            </w:r>
          </w:p>
          <w:p w:rsidR="00DF54C6" w:rsidRPr="00B25405" w:rsidRDefault="00142F05" w:rsidP="007E3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(BBR 031)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B75C9" w:rsidRPr="00B25405" w:rsidRDefault="00436DB6" w:rsidP="00A65C09">
            <w:r w:rsidRPr="00FE234A">
              <w:rPr>
                <w:sz w:val="20"/>
                <w:szCs w:val="20"/>
              </w:rPr>
              <w:t xml:space="preserve">Service descriptor – please see </w:t>
            </w:r>
            <w:r w:rsidR="00A65C09">
              <w:rPr>
                <w:sz w:val="20"/>
                <w:szCs w:val="20"/>
              </w:rPr>
              <w:t>below</w:t>
            </w:r>
            <w:r w:rsidR="00231170" w:rsidRPr="00FE234A">
              <w:rPr>
                <w:sz w:val="20"/>
                <w:szCs w:val="20"/>
              </w:rPr>
              <w:t xml:space="preserve"> </w:t>
            </w:r>
          </w:p>
        </w:tc>
      </w:tr>
      <w:tr w:rsidR="00FB75C9" w:rsidTr="00084304">
        <w:tc>
          <w:tcPr>
            <w:tcW w:w="3256" w:type="dxa"/>
            <w:tcBorders>
              <w:bottom w:val="nil"/>
            </w:tcBorders>
          </w:tcPr>
          <w:p w:rsidR="00FB75C9" w:rsidRPr="00B25405" w:rsidRDefault="00FB75C9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843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2126" w:type="dxa"/>
            <w:tcBorders>
              <w:bottom w:val="nil"/>
            </w:tcBorders>
          </w:tcPr>
          <w:p w:rsidR="00FB75C9" w:rsidRPr="00084304" w:rsidRDefault="00FB75C9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084304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084304" w:rsidRPr="00B25405" w:rsidRDefault="00084304" w:rsidP="004972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084304" w:rsidRPr="00084304" w:rsidRDefault="00084304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£m</w:t>
            </w:r>
          </w:p>
        </w:tc>
      </w:tr>
      <w:tr w:rsidR="00FC4147" w:rsidTr="00084304">
        <w:tc>
          <w:tcPr>
            <w:tcW w:w="3256" w:type="dxa"/>
            <w:tcBorders>
              <w:top w:val="nil"/>
              <w:bottom w:val="single" w:sz="4" w:space="0" w:color="auto"/>
            </w:tcBorders>
          </w:tcPr>
          <w:p w:rsidR="00FC4147" w:rsidRPr="004D588F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0.562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0.658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0.665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 (cumulative)</w:t>
            </w:r>
          </w:p>
        </w:tc>
        <w:tc>
          <w:tcPr>
            <w:tcW w:w="1984" w:type="dxa"/>
            <w:shd w:val="clear" w:color="auto" w:fill="auto"/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1843" w:type="dxa"/>
            <w:shd w:val="clear" w:color="auto" w:fill="auto"/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  <w:tc>
          <w:tcPr>
            <w:tcW w:w="2126" w:type="dxa"/>
            <w:shd w:val="clear" w:color="auto" w:fill="auto"/>
          </w:tcPr>
          <w:p w:rsidR="00FC4147" w:rsidRPr="00F32F81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-0.005</w:t>
            </w:r>
          </w:p>
        </w:tc>
      </w:tr>
      <w:tr w:rsidR="00FC4147" w:rsidTr="00C50F5C">
        <w:tc>
          <w:tcPr>
            <w:tcW w:w="3256" w:type="dxa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FC4147" w:rsidRDefault="00FC4147" w:rsidP="00FC4147">
            <w:pPr>
              <w:rPr>
                <w:sz w:val="20"/>
                <w:szCs w:val="20"/>
              </w:rPr>
            </w:pPr>
            <w:r w:rsidRPr="005B77F6">
              <w:rPr>
                <w:b/>
                <w:sz w:val="20"/>
                <w:szCs w:val="20"/>
              </w:rPr>
              <w:t>(Approved 2015 net budget)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0.653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0.660</w:t>
            </w:r>
          </w:p>
        </w:tc>
      </w:tr>
      <w:tr w:rsidR="00FC4147" w:rsidTr="00C844F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1774BD" w:rsidRDefault="00FC4147" w:rsidP="00FC4147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</w:tr>
      <w:tr w:rsidR="00FC4147" w:rsidTr="008E5A51">
        <w:tc>
          <w:tcPr>
            <w:tcW w:w="3256" w:type="dxa"/>
            <w:tcBorders>
              <w:right w:val="single" w:sz="4" w:space="0" w:color="auto"/>
            </w:tcBorders>
            <w:shd w:val="clear" w:color="auto" w:fill="auto"/>
          </w:tcPr>
          <w:p w:rsidR="00FC4147" w:rsidRPr="00E43B74" w:rsidRDefault="00FC4147" w:rsidP="00FC4147">
            <w:pPr>
              <w:rPr>
                <w:sz w:val="20"/>
                <w:szCs w:val="20"/>
              </w:rPr>
            </w:pPr>
            <w:r w:rsidRPr="00E43B74"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</w:tr>
      <w:tr w:rsidR="00FC4147" w:rsidTr="00C50F5C">
        <w:tc>
          <w:tcPr>
            <w:tcW w:w="3256" w:type="dxa"/>
            <w:tcBorders>
              <w:right w:val="single" w:sz="4" w:space="0" w:color="auto"/>
            </w:tcBorders>
          </w:tcPr>
          <w:p w:rsidR="00FC4147" w:rsidRPr="00EA1D7C" w:rsidRDefault="00FC4147" w:rsidP="00FC4147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C4147" w:rsidTr="00C50F5C">
        <w:tc>
          <w:tcPr>
            <w:tcW w:w="3256" w:type="dxa"/>
            <w:tcBorders>
              <w:right w:val="single" w:sz="4" w:space="0" w:color="auto"/>
            </w:tcBorders>
          </w:tcPr>
          <w:p w:rsidR="00FC4147" w:rsidRPr="00EA1D7C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Pr="004D588F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984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984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2126" w:type="dxa"/>
            <w:shd w:val="clear" w:color="auto" w:fill="auto"/>
          </w:tcPr>
          <w:p w:rsidR="00FC4147" w:rsidRPr="00C844FA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FC414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EA1D7C" w:rsidRDefault="00FC4147" w:rsidP="00FC4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0.658</w:t>
            </w:r>
          </w:p>
        </w:tc>
      </w:tr>
      <w:tr w:rsidR="00FC4147" w:rsidTr="00C844FA"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FC4147" w:rsidRPr="00F26FCF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 (cumulative)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-0.167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-0.167</w:t>
            </w:r>
          </w:p>
        </w:tc>
      </w:tr>
      <w:tr w:rsidR="00FC4147" w:rsidTr="00F26FCF">
        <w:tc>
          <w:tcPr>
            <w:tcW w:w="325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26FCF" w:rsidRDefault="00FC4147" w:rsidP="00FC4147">
            <w:pPr>
              <w:rPr>
                <w:b/>
                <w:sz w:val="20"/>
                <w:szCs w:val="20"/>
              </w:rPr>
            </w:pPr>
            <w:r w:rsidRPr="00F26FCF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0.485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C4147" w:rsidRPr="00F32F81" w:rsidRDefault="00FC4147" w:rsidP="00FC4147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0.491</w:t>
            </w:r>
          </w:p>
        </w:tc>
      </w:tr>
      <w:tr w:rsidR="00FC4147" w:rsidTr="00C844FA">
        <w:tc>
          <w:tcPr>
            <w:tcW w:w="3256" w:type="dxa"/>
            <w:shd w:val="clear" w:color="auto" w:fill="auto"/>
          </w:tcPr>
          <w:p w:rsidR="00FC4147" w:rsidRPr="00B25405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risk</w:t>
            </w:r>
            <w:r w:rsidRPr="00B25405">
              <w:rPr>
                <w:sz w:val="20"/>
                <w:szCs w:val="20"/>
              </w:rPr>
              <w:t xml:space="preserve"> reserve provision</w:t>
            </w:r>
            <w:r w:rsidR="00E00909">
              <w:rPr>
                <w:sz w:val="20"/>
                <w:szCs w:val="20"/>
              </w:rPr>
              <w:t xml:space="preserve"> (discrete year)</w:t>
            </w:r>
          </w:p>
        </w:tc>
        <w:tc>
          <w:tcPr>
            <w:tcW w:w="1984" w:type="dxa"/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0.167</w:t>
            </w:r>
          </w:p>
        </w:tc>
        <w:tc>
          <w:tcPr>
            <w:tcW w:w="2126" w:type="dxa"/>
            <w:shd w:val="clear" w:color="auto" w:fill="auto"/>
          </w:tcPr>
          <w:p w:rsidR="00FC4147" w:rsidRPr="00B25405" w:rsidRDefault="00FC4147" w:rsidP="00FC4147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0.167</w:t>
            </w:r>
          </w:p>
        </w:tc>
      </w:tr>
      <w:tr w:rsidR="00FC4147" w:rsidTr="009E2D95">
        <w:tc>
          <w:tcPr>
            <w:tcW w:w="3256" w:type="dxa"/>
          </w:tcPr>
          <w:p w:rsidR="00FC4147" w:rsidRDefault="00FC4147" w:rsidP="00FC4147">
            <w:pPr>
              <w:rPr>
                <w:sz w:val="20"/>
                <w:szCs w:val="20"/>
              </w:rPr>
            </w:pPr>
            <w:r w:rsidRPr="0066742C">
              <w:rPr>
                <w:sz w:val="20"/>
                <w:szCs w:val="20"/>
              </w:rPr>
              <w:t xml:space="preserve">Policy Decisions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66742C">
              <w:rPr>
                <w:sz w:val="20"/>
                <w:szCs w:val="20"/>
              </w:rPr>
              <w:t xml:space="preserve">savings </w:t>
            </w:r>
          </w:p>
          <w:p w:rsidR="00FC4147" w:rsidRPr="00B25405" w:rsidRDefault="00FC4147" w:rsidP="00FC4147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Commensurate with the implementation of the county council's property strategy and circa 50% reduction in the public facing property portfolio to reduce the capacity of the property asset management team by 30% by 1st April 2018.</w:t>
            </w:r>
          </w:p>
          <w:p w:rsidR="00FC4147" w:rsidRDefault="00FC4147" w:rsidP="00FC4147">
            <w:pPr>
              <w:rPr>
                <w:sz w:val="20"/>
                <w:szCs w:val="20"/>
              </w:rPr>
            </w:pPr>
          </w:p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reduce the revenue budget in line with the final service configuration from 1</w:t>
            </w:r>
            <w:r w:rsidRPr="004435B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2016, and make provision within the reserves during 2016/17 and 2017/18 </w:t>
            </w:r>
          </w:p>
          <w:p w:rsidR="00FC4147" w:rsidRPr="008150D2" w:rsidRDefault="00FC4147" w:rsidP="00FC4147">
            <w:pPr>
              <w:rPr>
                <w:sz w:val="20"/>
                <w:szCs w:val="20"/>
              </w:rPr>
            </w:pPr>
          </w:p>
        </w:tc>
      </w:tr>
      <w:tr w:rsidR="00FC4147" w:rsidTr="009E2D95">
        <w:tc>
          <w:tcPr>
            <w:tcW w:w="3256" w:type="dxa"/>
          </w:tcPr>
          <w:p w:rsidR="00FC4147" w:rsidRPr="0066742C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 on service</w:t>
            </w:r>
          </w:p>
        </w:tc>
        <w:tc>
          <w:tcPr>
            <w:tcW w:w="5953" w:type="dxa"/>
            <w:gridSpan w:val="3"/>
          </w:tcPr>
          <w:p w:rsidR="00FC4147" w:rsidRPr="00157B6E" w:rsidRDefault="00FC4147" w:rsidP="00FC4147">
            <w:pPr>
              <w:rPr>
                <w:sz w:val="20"/>
                <w:szCs w:val="20"/>
              </w:rPr>
            </w:pPr>
            <w:r w:rsidRPr="00157B6E">
              <w:rPr>
                <w:sz w:val="20"/>
                <w:szCs w:val="20"/>
              </w:rPr>
              <w:t xml:space="preserve">The reduction in service capacity will be commensurate with the reduced size of the property portfolio. </w:t>
            </w:r>
          </w:p>
          <w:p w:rsidR="00FC4147" w:rsidRPr="00CA2B52" w:rsidRDefault="00FC4147" w:rsidP="00FC4147"/>
        </w:tc>
      </w:tr>
      <w:tr w:rsidR="00FC4147" w:rsidTr="009E2D95">
        <w:tc>
          <w:tcPr>
            <w:tcW w:w="3256" w:type="dxa"/>
          </w:tcPr>
          <w:p w:rsidR="00FC4147" w:rsidRPr="00B25405" w:rsidRDefault="00FC4147" w:rsidP="00FC4147">
            <w:pPr>
              <w:rPr>
                <w:sz w:val="20"/>
                <w:szCs w:val="20"/>
              </w:rPr>
            </w:pPr>
            <w:r w:rsidRPr="00B25405">
              <w:rPr>
                <w:sz w:val="20"/>
                <w:szCs w:val="20"/>
              </w:rPr>
              <w:t xml:space="preserve">Actions needed to deliver the </w:t>
            </w:r>
            <w:r>
              <w:rPr>
                <w:sz w:val="20"/>
                <w:szCs w:val="20"/>
              </w:rPr>
              <w:t xml:space="preserve">target </w:t>
            </w:r>
            <w:r w:rsidRPr="00B25405">
              <w:rPr>
                <w:sz w:val="20"/>
                <w:szCs w:val="20"/>
              </w:rPr>
              <w:t>savings</w:t>
            </w:r>
          </w:p>
        </w:tc>
        <w:tc>
          <w:tcPr>
            <w:tcW w:w="5953" w:type="dxa"/>
            <w:gridSpan w:val="3"/>
          </w:tcPr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consult on the new staffing structure by 1</w:t>
            </w:r>
            <w:r w:rsidRPr="006B26B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July 2017, for implementation by 1</w:t>
            </w:r>
            <w:r w:rsidRPr="006B26BA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April 2018.</w:t>
            </w:r>
          </w:p>
          <w:p w:rsidR="00FC4147" w:rsidRDefault="00FC4147" w:rsidP="00FC4147">
            <w:pPr>
              <w:rPr>
                <w:sz w:val="20"/>
                <w:szCs w:val="20"/>
              </w:rPr>
            </w:pPr>
          </w:p>
          <w:p w:rsidR="00FC4147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Statutory consultation process with Trades Unions with respect to potential for redundancies, July 2017.</w:t>
            </w:r>
          </w:p>
          <w:p w:rsidR="00FC4147" w:rsidRPr="008150D2" w:rsidRDefault="00FC4147" w:rsidP="00FC4147">
            <w:pPr>
              <w:rPr>
                <w:sz w:val="20"/>
                <w:szCs w:val="20"/>
              </w:rPr>
            </w:pPr>
          </w:p>
        </w:tc>
      </w:tr>
      <w:tr w:rsidR="00FC4147" w:rsidTr="009E2D95">
        <w:tc>
          <w:tcPr>
            <w:tcW w:w="3256" w:type="dxa"/>
          </w:tcPr>
          <w:p w:rsidR="00FC4147" w:rsidRPr="00B25405" w:rsidRDefault="00FC4147" w:rsidP="00FC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953" w:type="dxa"/>
            <w:gridSpan w:val="3"/>
          </w:tcPr>
          <w:p w:rsidR="00FC4147" w:rsidRDefault="0083392D" w:rsidP="00FC4147">
            <w:pPr>
              <w:rPr>
                <w:sz w:val="20"/>
                <w:szCs w:val="20"/>
              </w:rPr>
            </w:pPr>
            <w:hyperlink r:id="rId6" w:history="1">
              <w:r w:rsidR="00E00C0B">
                <w:rPr>
                  <w:rStyle w:val="Hyperlink"/>
                  <w:sz w:val="20"/>
                  <w:szCs w:val="20"/>
                </w:rPr>
                <w:t>Click here to vie</w:t>
              </w:r>
              <w:bookmarkStart w:id="0" w:name="_GoBack"/>
              <w:bookmarkEnd w:id="0"/>
              <w:r w:rsidR="00E00C0B">
                <w:rPr>
                  <w:rStyle w:val="Hyperlink"/>
                  <w:sz w:val="20"/>
                  <w:szCs w:val="20"/>
                </w:rPr>
                <w:t>w</w:t>
              </w:r>
              <w:r w:rsidR="00E00C0B">
                <w:rPr>
                  <w:rStyle w:val="Hyperlink"/>
                  <w:sz w:val="20"/>
                  <w:szCs w:val="20"/>
                </w:rPr>
                <w:t xml:space="preserve"> document</w:t>
              </w:r>
            </w:hyperlink>
          </w:p>
          <w:p w:rsidR="00E00C0B" w:rsidRPr="008039DA" w:rsidRDefault="00E00C0B" w:rsidP="00FC4147">
            <w:pPr>
              <w:rPr>
                <w:sz w:val="20"/>
                <w:szCs w:val="20"/>
              </w:rPr>
            </w:pPr>
          </w:p>
        </w:tc>
      </w:tr>
    </w:tbl>
    <w:p w:rsidR="004727CA" w:rsidRDefault="004727CA" w:rsidP="00231186">
      <w:pPr>
        <w:rPr>
          <w:b/>
        </w:rPr>
      </w:pPr>
    </w:p>
    <w:p w:rsidR="00F60072" w:rsidRPr="00A65C09" w:rsidRDefault="00F60072" w:rsidP="00231186">
      <w:pPr>
        <w:rPr>
          <w:b/>
        </w:rPr>
      </w:pPr>
      <w:r w:rsidRPr="00F60072">
        <w:rPr>
          <w:b/>
        </w:rPr>
        <w:t>What does this service deliver?</w:t>
      </w:r>
    </w:p>
    <w:p w:rsidR="007E37BB" w:rsidRPr="007E37BB" w:rsidRDefault="007E37BB" w:rsidP="000D5A6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E37BB">
        <w:rPr>
          <w:sz w:val="20"/>
          <w:szCs w:val="20"/>
        </w:rPr>
        <w:t>Delivery of the council's property strategy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Strategic asset management, challenge and review of LCC's property portfolio (operational and non-operational) to ensure property enables delivery of corporate priorities.  P</w:t>
      </w:r>
      <w:r w:rsidRPr="00971298">
        <w:rPr>
          <w:sz w:val="20"/>
          <w:szCs w:val="20"/>
        </w:rPr>
        <w:t>roposal and delivery of the Corporate Accommodation strategy and review.  The team</w:t>
      </w:r>
      <w:r>
        <w:rPr>
          <w:sz w:val="20"/>
          <w:szCs w:val="20"/>
        </w:rPr>
        <w:t xml:space="preserve"> is responsible for the </w:t>
      </w:r>
      <w:r w:rsidRPr="00971298">
        <w:rPr>
          <w:sz w:val="20"/>
          <w:szCs w:val="20"/>
        </w:rPr>
        <w:t>strategy and</w:t>
      </w:r>
      <w:r>
        <w:rPr>
          <w:sz w:val="20"/>
          <w:szCs w:val="20"/>
        </w:rPr>
        <w:t xml:space="preserve"> undertakes activity in support of the</w:t>
      </w:r>
      <w:r w:rsidRPr="00971298">
        <w:rPr>
          <w:sz w:val="20"/>
          <w:szCs w:val="20"/>
        </w:rPr>
        <w:t xml:space="preserve"> delivery of £6.1m savings in running costs of the operational property portfolio (£5m Estates, £1.1m Facilities Management) and will play a key role throughout the implementation.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Collection, management and maintenance of accurate up-to-date property information.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Development and prioritisation of capital and revenue works for the retained operational portfolio, including health and safety and ongoing maintenance.</w:t>
      </w:r>
    </w:p>
    <w:p w:rsidR="00436DB6" w:rsidRDefault="007E37BB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Support the </w:t>
      </w:r>
      <w:r w:rsidR="00436DB6">
        <w:rPr>
          <w:sz w:val="20"/>
          <w:szCs w:val="20"/>
        </w:rPr>
        <w:t xml:space="preserve">Provision Planning Team to meet statutory duty to provide sufficient school places, in respect of site identification and release.  </w:t>
      </w:r>
    </w:p>
    <w:p w:rsidR="00436DB6" w:rsidRDefault="00436DB6" w:rsidP="00436DB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Strategic management of the LCC </w:t>
      </w:r>
      <w:proofErr w:type="gramStart"/>
      <w:r>
        <w:rPr>
          <w:sz w:val="20"/>
          <w:szCs w:val="20"/>
        </w:rPr>
        <w:t>school's</w:t>
      </w:r>
      <w:proofErr w:type="gramEnd"/>
      <w:r>
        <w:rPr>
          <w:sz w:val="20"/>
          <w:szCs w:val="20"/>
        </w:rPr>
        <w:t xml:space="preserve"> portfolio and sites retained for schools e.g. consideration of granting of leases and licences against corporate objectives and ensuring that LCC's ability to meet its statutory duties is not compromised.</w:t>
      </w:r>
    </w:p>
    <w:p w:rsidR="00016E30" w:rsidRPr="00016E30" w:rsidRDefault="00436DB6" w:rsidP="00B0563E">
      <w:pPr>
        <w:pStyle w:val="ListParagraph"/>
        <w:numPr>
          <w:ilvl w:val="0"/>
          <w:numId w:val="2"/>
        </w:numPr>
      </w:pPr>
      <w:r w:rsidRPr="00016E30">
        <w:rPr>
          <w:sz w:val="20"/>
          <w:szCs w:val="20"/>
        </w:rPr>
        <w:t>Work with Public and Third Sector bodies to identify opportunities for co-location and shared delivery of services.</w:t>
      </w:r>
    </w:p>
    <w:p w:rsidR="00436DB6" w:rsidRPr="00436DB6" w:rsidRDefault="00436DB6" w:rsidP="00B0563E">
      <w:pPr>
        <w:pStyle w:val="ListParagraph"/>
        <w:numPr>
          <w:ilvl w:val="0"/>
          <w:numId w:val="2"/>
        </w:numPr>
      </w:pPr>
      <w:r w:rsidRPr="00016E30">
        <w:rPr>
          <w:sz w:val="20"/>
          <w:szCs w:val="20"/>
        </w:rPr>
        <w:t>Managing property data through a change in property asset management system.</w:t>
      </w:r>
    </w:p>
    <w:sectPr w:rsidR="00436DB6" w:rsidRPr="00436DB6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74A7"/>
    <w:multiLevelType w:val="hybridMultilevel"/>
    <w:tmpl w:val="07943A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90216"/>
    <w:multiLevelType w:val="hybridMultilevel"/>
    <w:tmpl w:val="8AB0ECFA"/>
    <w:lvl w:ilvl="0" w:tplc="C29439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9AC"/>
    <w:multiLevelType w:val="hybridMultilevel"/>
    <w:tmpl w:val="090A2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E2549"/>
    <w:multiLevelType w:val="hybridMultilevel"/>
    <w:tmpl w:val="130AD8B2"/>
    <w:lvl w:ilvl="0" w:tplc="DB60AC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6330B"/>
    <w:multiLevelType w:val="hybridMultilevel"/>
    <w:tmpl w:val="FA3A3960"/>
    <w:lvl w:ilvl="0" w:tplc="9F32CE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C101B"/>
    <w:multiLevelType w:val="hybridMultilevel"/>
    <w:tmpl w:val="13A2A3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5455F"/>
    <w:multiLevelType w:val="hybridMultilevel"/>
    <w:tmpl w:val="156E7A10"/>
    <w:lvl w:ilvl="0" w:tplc="9F0C3B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4409C"/>
    <w:multiLevelType w:val="hybridMultilevel"/>
    <w:tmpl w:val="C91A9618"/>
    <w:lvl w:ilvl="0" w:tplc="60E8F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370F7"/>
    <w:multiLevelType w:val="hybridMultilevel"/>
    <w:tmpl w:val="0AE68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61547A"/>
    <w:multiLevelType w:val="hybridMultilevel"/>
    <w:tmpl w:val="0D3AAE4A"/>
    <w:lvl w:ilvl="0" w:tplc="AEF6962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16E30"/>
    <w:rsid w:val="0004107C"/>
    <w:rsid w:val="00060A0B"/>
    <w:rsid w:val="00084304"/>
    <w:rsid w:val="000D0FF5"/>
    <w:rsid w:val="000D48EA"/>
    <w:rsid w:val="000E21C6"/>
    <w:rsid w:val="001136DF"/>
    <w:rsid w:val="001408E6"/>
    <w:rsid w:val="00142F05"/>
    <w:rsid w:val="00144CA6"/>
    <w:rsid w:val="00157B6E"/>
    <w:rsid w:val="001774BD"/>
    <w:rsid w:val="00190E1C"/>
    <w:rsid w:val="001B6643"/>
    <w:rsid w:val="001C156F"/>
    <w:rsid w:val="001E172B"/>
    <w:rsid w:val="00231170"/>
    <w:rsid w:val="00231186"/>
    <w:rsid w:val="00241D35"/>
    <w:rsid w:val="002515C0"/>
    <w:rsid w:val="00280EFB"/>
    <w:rsid w:val="002A3E9F"/>
    <w:rsid w:val="002B630A"/>
    <w:rsid w:val="00331F5F"/>
    <w:rsid w:val="00347CFD"/>
    <w:rsid w:val="003869AC"/>
    <w:rsid w:val="003C4E07"/>
    <w:rsid w:val="00411DA3"/>
    <w:rsid w:val="0043280C"/>
    <w:rsid w:val="00436DB6"/>
    <w:rsid w:val="004435B3"/>
    <w:rsid w:val="00443967"/>
    <w:rsid w:val="00452C66"/>
    <w:rsid w:val="00464F42"/>
    <w:rsid w:val="004727CA"/>
    <w:rsid w:val="00483674"/>
    <w:rsid w:val="00487F0F"/>
    <w:rsid w:val="004D588F"/>
    <w:rsid w:val="004E121B"/>
    <w:rsid w:val="00515795"/>
    <w:rsid w:val="00533A41"/>
    <w:rsid w:val="005917F9"/>
    <w:rsid w:val="005957E5"/>
    <w:rsid w:val="005B386D"/>
    <w:rsid w:val="005C3A55"/>
    <w:rsid w:val="005D513F"/>
    <w:rsid w:val="00604C13"/>
    <w:rsid w:val="00613E6B"/>
    <w:rsid w:val="00631E0F"/>
    <w:rsid w:val="00637D07"/>
    <w:rsid w:val="0064633C"/>
    <w:rsid w:val="0065624A"/>
    <w:rsid w:val="00660183"/>
    <w:rsid w:val="0066742C"/>
    <w:rsid w:val="00676DDC"/>
    <w:rsid w:val="00692710"/>
    <w:rsid w:val="0069592C"/>
    <w:rsid w:val="006B26BA"/>
    <w:rsid w:val="006B2CE0"/>
    <w:rsid w:val="006F0E44"/>
    <w:rsid w:val="006F35E8"/>
    <w:rsid w:val="006F58CE"/>
    <w:rsid w:val="00711875"/>
    <w:rsid w:val="00716A4F"/>
    <w:rsid w:val="007467AF"/>
    <w:rsid w:val="007629E8"/>
    <w:rsid w:val="00771F93"/>
    <w:rsid w:val="007D00B0"/>
    <w:rsid w:val="007D2F78"/>
    <w:rsid w:val="007D6CED"/>
    <w:rsid w:val="007E37BB"/>
    <w:rsid w:val="008039DA"/>
    <w:rsid w:val="00814412"/>
    <w:rsid w:val="008150D2"/>
    <w:rsid w:val="0082216E"/>
    <w:rsid w:val="008252EB"/>
    <w:rsid w:val="0083392D"/>
    <w:rsid w:val="00846A4F"/>
    <w:rsid w:val="00877230"/>
    <w:rsid w:val="008841CE"/>
    <w:rsid w:val="00886C71"/>
    <w:rsid w:val="008E2320"/>
    <w:rsid w:val="008E30D2"/>
    <w:rsid w:val="009038FC"/>
    <w:rsid w:val="009304C0"/>
    <w:rsid w:val="00940405"/>
    <w:rsid w:val="0095474C"/>
    <w:rsid w:val="00971298"/>
    <w:rsid w:val="009C4647"/>
    <w:rsid w:val="009C4C46"/>
    <w:rsid w:val="009C6D4E"/>
    <w:rsid w:val="009E0E1B"/>
    <w:rsid w:val="009E2D95"/>
    <w:rsid w:val="00A02324"/>
    <w:rsid w:val="00A322D4"/>
    <w:rsid w:val="00A33171"/>
    <w:rsid w:val="00A50FD1"/>
    <w:rsid w:val="00A61F59"/>
    <w:rsid w:val="00A65C09"/>
    <w:rsid w:val="00A76AB5"/>
    <w:rsid w:val="00A91829"/>
    <w:rsid w:val="00AB3735"/>
    <w:rsid w:val="00AB5D6D"/>
    <w:rsid w:val="00AE14AD"/>
    <w:rsid w:val="00AE7339"/>
    <w:rsid w:val="00AF568F"/>
    <w:rsid w:val="00B25405"/>
    <w:rsid w:val="00B26FCE"/>
    <w:rsid w:val="00B325D0"/>
    <w:rsid w:val="00B819B1"/>
    <w:rsid w:val="00B83E81"/>
    <w:rsid w:val="00B92FF0"/>
    <w:rsid w:val="00BC7AC3"/>
    <w:rsid w:val="00BE1BC0"/>
    <w:rsid w:val="00BE44C4"/>
    <w:rsid w:val="00C116C8"/>
    <w:rsid w:val="00C1187C"/>
    <w:rsid w:val="00C11F8A"/>
    <w:rsid w:val="00C3384B"/>
    <w:rsid w:val="00C50F5C"/>
    <w:rsid w:val="00C61C32"/>
    <w:rsid w:val="00C76C67"/>
    <w:rsid w:val="00C844FA"/>
    <w:rsid w:val="00C94C84"/>
    <w:rsid w:val="00CA0323"/>
    <w:rsid w:val="00CA10C4"/>
    <w:rsid w:val="00CA2B52"/>
    <w:rsid w:val="00CB7956"/>
    <w:rsid w:val="00D3087B"/>
    <w:rsid w:val="00D373A4"/>
    <w:rsid w:val="00D53073"/>
    <w:rsid w:val="00D56DA4"/>
    <w:rsid w:val="00D64925"/>
    <w:rsid w:val="00D73B6C"/>
    <w:rsid w:val="00D84B63"/>
    <w:rsid w:val="00D91624"/>
    <w:rsid w:val="00DF54C6"/>
    <w:rsid w:val="00E00909"/>
    <w:rsid w:val="00E00C0B"/>
    <w:rsid w:val="00E11356"/>
    <w:rsid w:val="00E14781"/>
    <w:rsid w:val="00E17B81"/>
    <w:rsid w:val="00E30846"/>
    <w:rsid w:val="00E32D62"/>
    <w:rsid w:val="00E46961"/>
    <w:rsid w:val="00E50438"/>
    <w:rsid w:val="00E56AA9"/>
    <w:rsid w:val="00E74F99"/>
    <w:rsid w:val="00E949CD"/>
    <w:rsid w:val="00EA1D7C"/>
    <w:rsid w:val="00F0111F"/>
    <w:rsid w:val="00F15B60"/>
    <w:rsid w:val="00F26FCF"/>
    <w:rsid w:val="00F42FFA"/>
    <w:rsid w:val="00F479DA"/>
    <w:rsid w:val="00F60072"/>
    <w:rsid w:val="00F679F6"/>
    <w:rsid w:val="00F67BFD"/>
    <w:rsid w:val="00F9314E"/>
    <w:rsid w:val="00FA6D71"/>
    <w:rsid w:val="00FA744B"/>
    <w:rsid w:val="00FB61AD"/>
    <w:rsid w:val="00FB75C9"/>
    <w:rsid w:val="00FC4147"/>
    <w:rsid w:val="00FE09A5"/>
    <w:rsid w:val="00FE234A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CBFA4-0E50-48DD-91CC-4A83E90D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478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00C0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399&amp;ID=1399&amp;RPID=7643943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31B3E-982E-43A2-9268-04612D4A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21</cp:revision>
  <cp:lastPrinted>2015-09-22T10:58:00Z</cp:lastPrinted>
  <dcterms:created xsi:type="dcterms:W3CDTF">2015-11-03T13:33:00Z</dcterms:created>
  <dcterms:modified xsi:type="dcterms:W3CDTF">2015-11-16T15:04:00Z</dcterms:modified>
</cp:coreProperties>
</file>